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372A0D" w:rsidRPr="000F6A2A" w14:paraId="1ECC0E74" w14:textId="77777777" w:rsidTr="00372A0D">
        <w:trPr>
          <w:trHeight w:val="963"/>
        </w:trPr>
        <w:tc>
          <w:tcPr>
            <w:tcW w:w="9350" w:type="dxa"/>
            <w:tcBorders>
              <w:top w:val="nil"/>
              <w:left w:val="nil"/>
              <w:bottom w:val="nil"/>
              <w:right w:val="nil"/>
            </w:tcBorders>
            <w:shd w:val="clear" w:color="auto" w:fill="004A99"/>
          </w:tcPr>
          <w:p w14:paraId="1BAB89A4" w14:textId="4DBAD448" w:rsidR="00372A0D" w:rsidRPr="000F6A2A" w:rsidRDefault="00372A0D" w:rsidP="00372A0D">
            <w:pPr>
              <w:jc w:val="center"/>
              <w:rPr>
                <w:rFonts w:cs="Arial"/>
                <w:b/>
                <w:bCs/>
                <w:color w:val="FFFFFF" w:themeColor="background1"/>
                <w:sz w:val="24"/>
                <w:szCs w:val="24"/>
              </w:rPr>
            </w:pPr>
            <w:r w:rsidRPr="000F6A2A">
              <w:rPr>
                <w:b/>
                <w:bCs/>
                <w:sz w:val="24"/>
                <w:szCs w:val="24"/>
              </w:rPr>
              <w:br/>
            </w:r>
            <w:r w:rsidR="008C7D2B">
              <w:rPr>
                <w:rFonts w:cs="Arial"/>
                <w:b/>
                <w:bCs/>
                <w:color w:val="FFFFFF" w:themeColor="background1"/>
                <w:sz w:val="24"/>
                <w:szCs w:val="24"/>
              </w:rPr>
              <w:t>Rent Reviews</w:t>
            </w:r>
            <w:r w:rsidR="004D3F01" w:rsidRPr="000F6A2A">
              <w:rPr>
                <w:rFonts w:cs="Arial"/>
                <w:b/>
                <w:bCs/>
                <w:color w:val="FFFFFF" w:themeColor="background1"/>
                <w:sz w:val="24"/>
                <w:szCs w:val="24"/>
              </w:rPr>
              <w:t xml:space="preserve"> </w:t>
            </w:r>
          </w:p>
        </w:tc>
      </w:tr>
    </w:tbl>
    <w:p w14:paraId="369F0E8B" w14:textId="3DFB6FCB" w:rsidR="00106679" w:rsidRPr="000F6A2A" w:rsidRDefault="00000000">
      <w:pPr>
        <w:rPr>
          <w:sz w:val="24"/>
          <w:szCs w:val="24"/>
        </w:rPr>
      </w:pPr>
    </w:p>
    <w:p w14:paraId="71FC815B" w14:textId="11863401" w:rsidR="000F6A2A" w:rsidRDefault="000F6A2A">
      <w:pPr>
        <w:rPr>
          <w:sz w:val="24"/>
          <w:szCs w:val="24"/>
        </w:rPr>
      </w:pPr>
    </w:p>
    <w:p w14:paraId="0708862D" w14:textId="5341416B" w:rsidR="00FE78C3" w:rsidRDefault="00FE78C3" w:rsidP="00FE78C3">
      <w:pPr>
        <w:pStyle w:val="NormalWeb"/>
        <w:spacing w:before="0" w:beforeAutospacing="0" w:after="0" w:afterAutospacing="0"/>
        <w:rPr>
          <w:rFonts w:ascii="Söhne" w:hAnsi="Söhne" w:cs="Arial"/>
          <w:color w:val="201F1E"/>
        </w:rPr>
      </w:pPr>
      <w:r>
        <w:rPr>
          <w:rFonts w:ascii="Söhne" w:hAnsi="Söhne" w:cs="Arial"/>
          <w:color w:val="201F1E"/>
        </w:rPr>
        <w:t xml:space="preserve">Vinnies Housing conducts regular rent reviews for all Community Housing households, typically on an annual basis or when we are informed of a change in household circumstances. This practice aligns with the guidelines set forth in the Department of Housing and Public Works' Community Housing Rent Policy, which can be accessed here: </w:t>
      </w:r>
      <w:hyperlink r:id="rId11" w:history="1">
        <w:r>
          <w:rPr>
            <w:rStyle w:val="Hyperlink"/>
            <w:rFonts w:ascii="Söhne" w:hAnsi="Söhne" w:cs="Arial"/>
            <w:lang w:val="en-US"/>
          </w:rPr>
          <w:t>Community Housing Rent Policy</w:t>
        </w:r>
      </w:hyperlink>
      <w:r>
        <w:rPr>
          <w:rFonts w:ascii="Söhne" w:hAnsi="Söhne" w:cs="Arial"/>
          <w:color w:val="201F1E"/>
        </w:rPr>
        <w:t>.</w:t>
      </w:r>
    </w:p>
    <w:p w14:paraId="0977924C" w14:textId="77777777" w:rsidR="00FE78C3" w:rsidRDefault="00FE78C3" w:rsidP="00FE78C3">
      <w:pPr>
        <w:pStyle w:val="NormalWeb"/>
        <w:spacing w:before="0" w:beforeAutospacing="0" w:after="0" w:afterAutospacing="0"/>
        <w:rPr>
          <w:rFonts w:ascii="Söhne" w:hAnsi="Söhne" w:cs="Arial"/>
          <w:color w:val="201F1E"/>
        </w:rPr>
      </w:pPr>
    </w:p>
    <w:p w14:paraId="6D100EAA" w14:textId="4B341AB7" w:rsidR="00FE78C3" w:rsidRDefault="00FE78C3" w:rsidP="00FE78C3">
      <w:pPr>
        <w:pStyle w:val="NormalWeb"/>
        <w:spacing w:before="0" w:beforeAutospacing="0" w:after="0" w:afterAutospacing="0"/>
        <w:rPr>
          <w:rFonts w:ascii="Söhne" w:hAnsi="Söhne" w:cs="Arial"/>
          <w:color w:val="201F1E"/>
        </w:rPr>
      </w:pPr>
      <w:r>
        <w:rPr>
          <w:rFonts w:ascii="Söhne" w:hAnsi="Söhne" w:cs="Arial"/>
          <w:color w:val="201F1E"/>
        </w:rPr>
        <w:t>Vinnies Housing tenants will receive a clear explanation of how their rent is calculated and will be notified when their rent is scheduled for an annual review. They will also be informed of the necessary information they need to provide. Tenants are kindly requested to provide proof of their income during Vinnies Housing's rent review process to ensure an accurate and equitable assessment.</w:t>
      </w:r>
    </w:p>
    <w:p w14:paraId="28F1C5A9" w14:textId="77777777" w:rsidR="00FE78C3" w:rsidRDefault="00FE78C3" w:rsidP="00FE78C3">
      <w:pPr>
        <w:pStyle w:val="NormalWeb"/>
        <w:spacing w:before="0" w:beforeAutospacing="0" w:after="0" w:afterAutospacing="0"/>
        <w:rPr>
          <w:rFonts w:ascii="Söhne" w:hAnsi="Söhne" w:cs="Arial"/>
          <w:color w:val="201F1E"/>
        </w:rPr>
      </w:pPr>
    </w:p>
    <w:p w14:paraId="1C0F70F1" w14:textId="5E389C70" w:rsidR="00FE78C3" w:rsidRDefault="00FE78C3" w:rsidP="00FE78C3">
      <w:pPr>
        <w:pStyle w:val="NormalWeb"/>
        <w:spacing w:before="0" w:beforeAutospacing="0" w:after="0" w:afterAutospacing="0"/>
        <w:rPr>
          <w:rFonts w:ascii="Söhne" w:hAnsi="Söhne" w:cs="Arial"/>
          <w:color w:val="201F1E"/>
        </w:rPr>
      </w:pPr>
      <w:r>
        <w:rPr>
          <w:rFonts w:ascii="Söhne" w:hAnsi="Söhne" w:cs="Arial"/>
          <w:color w:val="201F1E"/>
        </w:rPr>
        <w:t>Before initiating a rent review, we will send a letter to the tenant, explaining the upcoming review, specifying the date by which income evidence must be provided. This letter will also include a checklist for the tenant to confirm their ongoing eligibility for community housing.</w:t>
      </w:r>
    </w:p>
    <w:p w14:paraId="3CD66FCC" w14:textId="77777777" w:rsidR="00FE78C3" w:rsidRDefault="00FE78C3" w:rsidP="00FE78C3">
      <w:pPr>
        <w:pStyle w:val="NormalWeb"/>
        <w:spacing w:before="0" w:beforeAutospacing="0" w:after="0" w:afterAutospacing="0"/>
        <w:rPr>
          <w:rFonts w:ascii="Söhne" w:hAnsi="Söhne" w:cs="Arial"/>
          <w:color w:val="201F1E"/>
        </w:rPr>
      </w:pPr>
    </w:p>
    <w:p w14:paraId="176C97A8" w14:textId="098BA94C" w:rsidR="00FE78C3" w:rsidRDefault="00FE78C3" w:rsidP="00FE78C3">
      <w:pPr>
        <w:pStyle w:val="NormalWeb"/>
        <w:spacing w:before="0" w:beforeAutospacing="0" w:after="0" w:afterAutospacing="0"/>
        <w:rPr>
          <w:rFonts w:ascii="Söhne" w:hAnsi="Söhne" w:cs="Arial"/>
          <w:color w:val="201F1E"/>
        </w:rPr>
      </w:pPr>
      <w:r>
        <w:rPr>
          <w:rFonts w:ascii="Söhne" w:hAnsi="Söhne" w:cs="Arial"/>
          <w:color w:val="201F1E"/>
        </w:rPr>
        <w:t>In community housing, rent is typically based on a percentage of household income. The income documentation provided by the tenant will be used to calculate the new rent amount. In Affordable Housing Programs, the percentage of income may be capped, or the rent charged may be a percentage of market rent; however, tenant income details are still required.</w:t>
      </w:r>
    </w:p>
    <w:p w14:paraId="4DEA8753" w14:textId="77777777" w:rsidR="00FE78C3" w:rsidRDefault="00FE78C3" w:rsidP="00FE78C3">
      <w:pPr>
        <w:pStyle w:val="NormalWeb"/>
        <w:spacing w:before="0" w:beforeAutospacing="0" w:after="0" w:afterAutospacing="0"/>
        <w:rPr>
          <w:rFonts w:ascii="Söhne" w:hAnsi="Söhne" w:cs="Arial"/>
          <w:color w:val="201F1E"/>
        </w:rPr>
      </w:pPr>
    </w:p>
    <w:p w14:paraId="3C02D429" w14:textId="39565644" w:rsidR="00FE78C3" w:rsidRPr="00FE78C3" w:rsidRDefault="00FE78C3" w:rsidP="00FE78C3">
      <w:pPr>
        <w:pStyle w:val="NormalWeb"/>
        <w:spacing w:before="0" w:beforeAutospacing="0" w:after="0" w:afterAutospacing="0"/>
        <w:rPr>
          <w:rFonts w:ascii="Söhne" w:hAnsi="Söhne" w:cs="Arial"/>
          <w:b/>
          <w:bCs/>
          <w:color w:val="201F1E"/>
        </w:rPr>
      </w:pPr>
      <w:r w:rsidRPr="00FE78C3">
        <w:rPr>
          <w:rFonts w:ascii="Söhne" w:hAnsi="Söhne" w:cs="Arial"/>
          <w:b/>
          <w:bCs/>
          <w:color w:val="201F1E"/>
        </w:rPr>
        <w:t>Notification of Rent Review Outcome</w:t>
      </w:r>
    </w:p>
    <w:p w14:paraId="403843BF" w14:textId="77777777" w:rsidR="00FE78C3" w:rsidRDefault="00FE78C3" w:rsidP="00FE78C3">
      <w:pPr>
        <w:pStyle w:val="NormalWeb"/>
        <w:spacing w:before="0" w:beforeAutospacing="0" w:after="0" w:afterAutospacing="0"/>
        <w:rPr>
          <w:rFonts w:ascii="Söhne" w:hAnsi="Söhne" w:cs="Arial"/>
          <w:color w:val="201F1E"/>
        </w:rPr>
      </w:pPr>
    </w:p>
    <w:p w14:paraId="5391F159" w14:textId="498BD672" w:rsidR="00FE78C3" w:rsidRDefault="00FE78C3" w:rsidP="00FE78C3">
      <w:pPr>
        <w:pStyle w:val="NormalWeb"/>
        <w:spacing w:before="0" w:beforeAutospacing="0" w:after="0" w:afterAutospacing="0"/>
        <w:rPr>
          <w:rFonts w:ascii="Söhne" w:hAnsi="Söhne" w:cs="Arial"/>
          <w:color w:val="201F1E"/>
        </w:rPr>
      </w:pPr>
      <w:r>
        <w:rPr>
          <w:rFonts w:ascii="Söhne" w:hAnsi="Söhne" w:cs="Arial"/>
          <w:color w:val="201F1E"/>
        </w:rPr>
        <w:t>After each rent review, tenants will receive the following:</w:t>
      </w:r>
    </w:p>
    <w:p w14:paraId="14AEA803" w14:textId="77777777" w:rsidR="00FE78C3" w:rsidRDefault="00FE78C3" w:rsidP="00FE78C3">
      <w:pPr>
        <w:pStyle w:val="NormalWeb"/>
        <w:spacing w:before="0" w:beforeAutospacing="0" w:after="0" w:afterAutospacing="0"/>
        <w:rPr>
          <w:rFonts w:ascii="Söhne" w:hAnsi="Söhne" w:cs="Arial"/>
          <w:color w:val="201F1E"/>
        </w:rPr>
      </w:pPr>
    </w:p>
    <w:p w14:paraId="5B4A03EF" w14:textId="77777777" w:rsidR="00FE78C3" w:rsidRDefault="00FE78C3" w:rsidP="00FE78C3">
      <w:pPr>
        <w:pStyle w:val="NormalWeb"/>
        <w:spacing w:before="0" w:beforeAutospacing="0" w:after="0" w:afterAutospacing="0"/>
        <w:rPr>
          <w:rFonts w:ascii="Söhne" w:hAnsi="Söhne" w:cs="Arial"/>
          <w:color w:val="201F1E"/>
        </w:rPr>
      </w:pPr>
      <w:r>
        <w:rPr>
          <w:rFonts w:ascii="Söhne" w:hAnsi="Söhne" w:cs="Arial"/>
          <w:color w:val="201F1E"/>
        </w:rPr>
        <w:t xml:space="preserve">• A Rent Review Notification letter, indicating whether there is a rent increase or decrease, the effective date of the change, and any modifications to the tenant's rental bond. </w:t>
      </w:r>
    </w:p>
    <w:p w14:paraId="6A219D8F" w14:textId="26A677AE" w:rsidR="00FE78C3" w:rsidRDefault="00FE78C3" w:rsidP="00FE78C3">
      <w:pPr>
        <w:pStyle w:val="NormalWeb"/>
        <w:spacing w:before="0" w:beforeAutospacing="0" w:after="0" w:afterAutospacing="0"/>
        <w:rPr>
          <w:rFonts w:ascii="Söhne" w:hAnsi="Söhne" w:cs="Arial"/>
          <w:color w:val="201F1E"/>
        </w:rPr>
      </w:pPr>
      <w:r>
        <w:rPr>
          <w:rFonts w:ascii="Söhne" w:hAnsi="Söhne" w:cs="Arial"/>
          <w:color w:val="201F1E"/>
        </w:rPr>
        <w:t xml:space="preserve">• A Bond Refund form (Form 4) if a refund is due. </w:t>
      </w:r>
    </w:p>
    <w:p w14:paraId="20E4D5F9" w14:textId="4185CABB" w:rsidR="00FE78C3" w:rsidRDefault="00FE78C3" w:rsidP="00FE78C3">
      <w:pPr>
        <w:pStyle w:val="NormalWeb"/>
        <w:spacing w:before="0" w:beforeAutospacing="0" w:after="0" w:afterAutospacing="0"/>
        <w:rPr>
          <w:rFonts w:ascii="Söhne" w:hAnsi="Söhne" w:cs="Arial"/>
          <w:color w:val="201F1E"/>
        </w:rPr>
      </w:pPr>
      <w:r>
        <w:rPr>
          <w:rFonts w:ascii="Söhne" w:hAnsi="Söhne" w:cs="Arial"/>
          <w:color w:val="201F1E"/>
        </w:rPr>
        <w:t>• A copy of the completed rent calculation.</w:t>
      </w:r>
    </w:p>
    <w:p w14:paraId="44BF38C8" w14:textId="76F22A1E" w:rsidR="00FE78C3" w:rsidRDefault="00FE78C3" w:rsidP="00FE78C3">
      <w:pPr>
        <w:pStyle w:val="NormalWeb"/>
        <w:spacing w:before="0" w:beforeAutospacing="0" w:after="0" w:afterAutospacing="0"/>
        <w:rPr>
          <w:rFonts w:ascii="Söhne" w:hAnsi="Söhne" w:cs="Arial"/>
          <w:color w:val="201F1E"/>
        </w:rPr>
      </w:pPr>
    </w:p>
    <w:p w14:paraId="4346BC75" w14:textId="0BB89C37" w:rsidR="00FE78C3" w:rsidRDefault="00FE78C3" w:rsidP="00FE78C3">
      <w:pPr>
        <w:pStyle w:val="NormalWeb"/>
        <w:spacing w:before="0" w:beforeAutospacing="0" w:after="0" w:afterAutospacing="0"/>
        <w:rPr>
          <w:rFonts w:ascii="Söhne" w:hAnsi="Söhne" w:cs="Arial"/>
          <w:color w:val="201F1E"/>
        </w:rPr>
      </w:pPr>
    </w:p>
    <w:p w14:paraId="444D96F0" w14:textId="6FA44E6D" w:rsidR="00FE78C3" w:rsidRDefault="00FE78C3" w:rsidP="00FE78C3">
      <w:pPr>
        <w:pStyle w:val="NormalWeb"/>
        <w:spacing w:before="0" w:beforeAutospacing="0" w:after="0" w:afterAutospacing="0"/>
        <w:rPr>
          <w:rFonts w:ascii="Söhne" w:hAnsi="Söhne" w:cs="Arial"/>
          <w:color w:val="201F1E"/>
        </w:rPr>
      </w:pPr>
    </w:p>
    <w:p w14:paraId="0D619241" w14:textId="73347564" w:rsidR="00FE78C3" w:rsidRDefault="00FE78C3" w:rsidP="00FE78C3">
      <w:pPr>
        <w:pStyle w:val="NormalWeb"/>
        <w:spacing w:before="0" w:beforeAutospacing="0" w:after="0" w:afterAutospacing="0"/>
        <w:rPr>
          <w:rFonts w:ascii="Söhne" w:hAnsi="Söhne" w:cs="Arial"/>
          <w:color w:val="201F1E"/>
        </w:rPr>
      </w:pPr>
    </w:p>
    <w:p w14:paraId="3E887CDB" w14:textId="77777777" w:rsidR="00FE78C3" w:rsidRDefault="00FE78C3" w:rsidP="00FE78C3">
      <w:pPr>
        <w:pStyle w:val="NormalWeb"/>
        <w:spacing w:before="0" w:beforeAutospacing="0" w:after="0" w:afterAutospacing="0"/>
        <w:rPr>
          <w:rFonts w:ascii="Söhne" w:hAnsi="Söhne" w:cs="Arial"/>
          <w:color w:val="201F1E"/>
        </w:rPr>
      </w:pPr>
    </w:p>
    <w:p w14:paraId="05F187DA" w14:textId="152ABD65" w:rsidR="00FE78C3" w:rsidRPr="00FE78C3" w:rsidRDefault="00FE78C3" w:rsidP="00FE78C3">
      <w:pPr>
        <w:pStyle w:val="NormalWeb"/>
        <w:spacing w:before="0" w:beforeAutospacing="0" w:after="0" w:afterAutospacing="0"/>
        <w:rPr>
          <w:rFonts w:ascii="Söhne" w:hAnsi="Söhne" w:cs="Arial"/>
          <w:b/>
          <w:bCs/>
          <w:color w:val="201F1E"/>
        </w:rPr>
      </w:pPr>
      <w:r w:rsidRPr="00FE78C3">
        <w:rPr>
          <w:rFonts w:ascii="Söhne" w:hAnsi="Söhne" w:cs="Arial"/>
          <w:b/>
          <w:bCs/>
          <w:color w:val="201F1E"/>
        </w:rPr>
        <w:lastRenderedPageBreak/>
        <w:t>Rent Increases</w:t>
      </w:r>
    </w:p>
    <w:p w14:paraId="23B08B62" w14:textId="77777777" w:rsidR="00FE78C3" w:rsidRDefault="00FE78C3" w:rsidP="00FE78C3">
      <w:pPr>
        <w:pStyle w:val="NormalWeb"/>
        <w:spacing w:before="0" w:beforeAutospacing="0" w:after="0" w:afterAutospacing="0"/>
        <w:rPr>
          <w:rFonts w:ascii="Söhne" w:hAnsi="Söhne" w:cs="Arial"/>
          <w:color w:val="201F1E"/>
        </w:rPr>
      </w:pPr>
    </w:p>
    <w:p w14:paraId="1DF57A3C" w14:textId="5A01607D" w:rsidR="00FE78C3" w:rsidRDefault="00FE78C3" w:rsidP="00FE78C3">
      <w:pPr>
        <w:pStyle w:val="NormalWeb"/>
        <w:spacing w:before="0" w:beforeAutospacing="0" w:after="0" w:afterAutospacing="0"/>
        <w:rPr>
          <w:rFonts w:ascii="Söhne" w:hAnsi="Söhne" w:cs="Arial"/>
          <w:color w:val="201F1E"/>
        </w:rPr>
      </w:pPr>
      <w:r>
        <w:rPr>
          <w:rFonts w:ascii="Söhne" w:hAnsi="Söhne" w:cs="Arial"/>
          <w:color w:val="201F1E"/>
        </w:rPr>
        <w:t xml:space="preserve">In accordance with the guidelines provided by the Residential Tenancies Authority (RTA), all tenants will receive a minimum of two months' notice before any rent increase takes effect. Rent increases will not be applied retroactively. Additional information can be found on the RTA website at: </w:t>
      </w:r>
      <w:hyperlink r:id="rId12" w:history="1">
        <w:r>
          <w:rPr>
            <w:rStyle w:val="Hyperlink"/>
            <w:rFonts w:ascii="Söhne" w:hAnsi="Söhne" w:cs="Arial"/>
            <w:lang w:val="en-US"/>
          </w:rPr>
          <w:t>RTA Website</w:t>
        </w:r>
      </w:hyperlink>
      <w:r>
        <w:rPr>
          <w:rFonts w:ascii="Söhne" w:hAnsi="Söhne" w:cs="Arial"/>
          <w:color w:val="201F1E"/>
        </w:rPr>
        <w:t>.</w:t>
      </w:r>
    </w:p>
    <w:p w14:paraId="01DF8EF4" w14:textId="77777777" w:rsidR="00FE78C3" w:rsidRDefault="00FE78C3" w:rsidP="00FE78C3">
      <w:pPr>
        <w:pStyle w:val="NormalWeb"/>
        <w:spacing w:before="0" w:beforeAutospacing="0" w:after="0" w:afterAutospacing="0"/>
        <w:rPr>
          <w:rFonts w:ascii="Söhne" w:hAnsi="Söhne" w:cs="Arial"/>
          <w:color w:val="201F1E"/>
        </w:rPr>
      </w:pPr>
    </w:p>
    <w:p w14:paraId="6D5F0093" w14:textId="46DFF136" w:rsidR="00FE78C3" w:rsidRPr="00FE78C3" w:rsidRDefault="00FE78C3" w:rsidP="00FE78C3">
      <w:pPr>
        <w:pStyle w:val="NormalWeb"/>
        <w:spacing w:before="0" w:beforeAutospacing="0" w:after="0" w:afterAutospacing="0"/>
        <w:rPr>
          <w:rFonts w:ascii="Söhne" w:hAnsi="Söhne" w:cs="Arial"/>
          <w:b/>
          <w:bCs/>
          <w:color w:val="201F1E"/>
        </w:rPr>
      </w:pPr>
      <w:r w:rsidRPr="00FE78C3">
        <w:rPr>
          <w:rFonts w:ascii="Söhne" w:hAnsi="Söhne" w:cs="Arial"/>
          <w:b/>
          <w:bCs/>
          <w:color w:val="201F1E"/>
        </w:rPr>
        <w:t>Rent Decreases</w:t>
      </w:r>
    </w:p>
    <w:p w14:paraId="183590D1" w14:textId="77777777" w:rsidR="00FE78C3" w:rsidRDefault="00FE78C3" w:rsidP="00FE78C3">
      <w:pPr>
        <w:pStyle w:val="NormalWeb"/>
        <w:spacing w:before="0" w:beforeAutospacing="0" w:after="0" w:afterAutospacing="0"/>
        <w:rPr>
          <w:rFonts w:ascii="Söhne" w:hAnsi="Söhne" w:cs="Arial"/>
          <w:color w:val="201F1E"/>
        </w:rPr>
      </w:pPr>
    </w:p>
    <w:p w14:paraId="70A5EAC1" w14:textId="787BDD8F" w:rsidR="00FE78C3" w:rsidRDefault="00FE78C3" w:rsidP="00FE78C3">
      <w:pPr>
        <w:pStyle w:val="NormalWeb"/>
        <w:spacing w:before="0" w:beforeAutospacing="0" w:after="0" w:afterAutospacing="0"/>
        <w:rPr>
          <w:rFonts w:ascii="Söhne" w:hAnsi="Söhne" w:cs="Arial"/>
          <w:color w:val="201F1E"/>
        </w:rPr>
      </w:pPr>
      <w:r>
        <w:rPr>
          <w:rFonts w:ascii="Söhne" w:hAnsi="Söhne" w:cs="Arial"/>
          <w:color w:val="201F1E"/>
        </w:rPr>
        <w:t>As per the Residential Tenancies Authority, all rent decreases will be applied immediately upon approval. This will occur on either:</w:t>
      </w:r>
    </w:p>
    <w:p w14:paraId="42EFBCA0" w14:textId="77777777" w:rsidR="00FE78C3" w:rsidRDefault="00FE78C3" w:rsidP="00FE78C3">
      <w:pPr>
        <w:pStyle w:val="NormalWeb"/>
        <w:spacing w:before="0" w:beforeAutospacing="0" w:after="0" w:afterAutospacing="0"/>
        <w:rPr>
          <w:rFonts w:ascii="Söhne" w:hAnsi="Söhne" w:cs="Arial"/>
          <w:color w:val="201F1E"/>
        </w:rPr>
      </w:pPr>
    </w:p>
    <w:p w14:paraId="3CE5AFAE" w14:textId="77777777" w:rsidR="00FE78C3" w:rsidRDefault="00FE78C3" w:rsidP="00FE78C3">
      <w:pPr>
        <w:pStyle w:val="NormalWeb"/>
        <w:spacing w:before="0" w:beforeAutospacing="0" w:after="0" w:afterAutospacing="0"/>
        <w:rPr>
          <w:rFonts w:ascii="Söhne" w:hAnsi="Söhne" w:cs="Arial"/>
          <w:color w:val="201F1E"/>
        </w:rPr>
      </w:pPr>
      <w:r>
        <w:rPr>
          <w:rFonts w:ascii="Söhne" w:hAnsi="Söhne" w:cs="Arial"/>
          <w:color w:val="201F1E"/>
        </w:rPr>
        <w:t xml:space="preserve">• The date the tenant's annual rent review was scheduled. </w:t>
      </w:r>
    </w:p>
    <w:p w14:paraId="282BE8EC" w14:textId="52918C7D" w:rsidR="00FE78C3" w:rsidRDefault="00FE78C3" w:rsidP="00FE78C3">
      <w:pPr>
        <w:pStyle w:val="NormalWeb"/>
        <w:spacing w:before="0" w:beforeAutospacing="0" w:after="0" w:afterAutospacing="0"/>
        <w:rPr>
          <w:rFonts w:ascii="Söhne" w:hAnsi="Söhne" w:cs="Arial"/>
          <w:color w:val="201F1E"/>
        </w:rPr>
      </w:pPr>
      <w:r>
        <w:rPr>
          <w:rFonts w:ascii="Söhne" w:hAnsi="Söhne" w:cs="Arial"/>
          <w:color w:val="201F1E"/>
        </w:rPr>
        <w:t>• The date the tenant provided income evidence and requested a rent review due to a change in circumstances. In cases of rent decreases, we will make all necessary adjustments to the tenant's rent account, including partial bond refunds, if applicable.</w:t>
      </w:r>
    </w:p>
    <w:p w14:paraId="34C785EE" w14:textId="77777777" w:rsidR="00FE78C3" w:rsidRDefault="00FE78C3" w:rsidP="00FE78C3">
      <w:pPr>
        <w:pStyle w:val="NormalWeb"/>
        <w:spacing w:before="0" w:beforeAutospacing="0" w:after="0" w:afterAutospacing="0"/>
        <w:rPr>
          <w:rFonts w:ascii="Söhne" w:hAnsi="Söhne" w:cs="Arial"/>
          <w:color w:val="201F1E"/>
        </w:rPr>
      </w:pPr>
    </w:p>
    <w:p w14:paraId="3793747C" w14:textId="6569D23A" w:rsidR="00FE78C3" w:rsidRPr="00FE78C3" w:rsidRDefault="00FE78C3" w:rsidP="00FE78C3">
      <w:pPr>
        <w:pStyle w:val="NormalWeb"/>
        <w:spacing w:before="0" w:beforeAutospacing="0" w:after="0" w:afterAutospacing="0"/>
        <w:rPr>
          <w:rFonts w:ascii="Söhne" w:hAnsi="Söhne" w:cs="Arial"/>
          <w:b/>
          <w:bCs/>
          <w:color w:val="201F1E"/>
        </w:rPr>
      </w:pPr>
      <w:r w:rsidRPr="00FE78C3">
        <w:rPr>
          <w:rFonts w:ascii="Söhne" w:hAnsi="Söhne" w:cs="Arial"/>
          <w:b/>
          <w:bCs/>
          <w:color w:val="201F1E"/>
        </w:rPr>
        <w:t>Changes in Household Circumstances</w:t>
      </w:r>
    </w:p>
    <w:p w14:paraId="27B2E1F3" w14:textId="77777777" w:rsidR="00FE78C3" w:rsidRDefault="00FE78C3" w:rsidP="00FE78C3">
      <w:pPr>
        <w:pStyle w:val="NormalWeb"/>
        <w:spacing w:before="0" w:beforeAutospacing="0" w:after="0" w:afterAutospacing="0"/>
        <w:rPr>
          <w:rFonts w:ascii="Söhne" w:hAnsi="Söhne" w:cs="Arial"/>
          <w:color w:val="201F1E"/>
        </w:rPr>
      </w:pPr>
    </w:p>
    <w:p w14:paraId="2EE88F37" w14:textId="77777777" w:rsidR="00FE78C3" w:rsidRDefault="00FE78C3" w:rsidP="00FE78C3">
      <w:pPr>
        <w:pStyle w:val="NormalWeb"/>
        <w:spacing w:before="0" w:beforeAutospacing="0" w:after="0" w:afterAutospacing="0"/>
        <w:rPr>
          <w:rFonts w:ascii="Söhne" w:hAnsi="Söhne" w:cs="Arial"/>
          <w:color w:val="201F1E"/>
        </w:rPr>
      </w:pPr>
      <w:r>
        <w:rPr>
          <w:rFonts w:ascii="Söhne" w:hAnsi="Söhne" w:cs="Arial"/>
          <w:color w:val="201F1E"/>
        </w:rPr>
        <w:t>We will review a tenant's rent whenever we are notified of changes in circumstances, even if this occurs before the scheduled annual rent review. Changes in circumstances may encompass:</w:t>
      </w:r>
    </w:p>
    <w:p w14:paraId="6320B5CA" w14:textId="77777777" w:rsidR="00FE78C3" w:rsidRDefault="00FE78C3" w:rsidP="00FE78C3">
      <w:pPr>
        <w:pStyle w:val="NormalWeb"/>
        <w:spacing w:before="0" w:beforeAutospacing="0" w:after="0" w:afterAutospacing="0"/>
        <w:rPr>
          <w:rFonts w:ascii="Söhne" w:hAnsi="Söhne" w:cs="Arial"/>
          <w:color w:val="201F1E"/>
        </w:rPr>
      </w:pPr>
      <w:r>
        <w:rPr>
          <w:rFonts w:ascii="Söhne" w:hAnsi="Söhne" w:cs="Arial"/>
          <w:color w:val="201F1E"/>
        </w:rPr>
        <w:t xml:space="preserve">• A change in the type of payment the tenant receives from Centrelink. </w:t>
      </w:r>
    </w:p>
    <w:p w14:paraId="67F04220" w14:textId="77777777" w:rsidR="00FE78C3" w:rsidRDefault="00FE78C3" w:rsidP="00FE78C3">
      <w:pPr>
        <w:pStyle w:val="NormalWeb"/>
        <w:spacing w:before="0" w:beforeAutospacing="0" w:after="0" w:afterAutospacing="0"/>
        <w:rPr>
          <w:rFonts w:ascii="Söhne" w:hAnsi="Söhne" w:cs="Arial"/>
          <w:color w:val="201F1E"/>
        </w:rPr>
      </w:pPr>
      <w:r>
        <w:rPr>
          <w:rFonts w:ascii="Söhne" w:hAnsi="Söhne" w:cs="Arial"/>
          <w:color w:val="201F1E"/>
        </w:rPr>
        <w:t xml:space="preserve">• Variations in the tenant's working hours. </w:t>
      </w:r>
    </w:p>
    <w:p w14:paraId="2ACB067A" w14:textId="0725A683" w:rsidR="00FE78C3" w:rsidRDefault="00FE78C3" w:rsidP="00FE78C3">
      <w:pPr>
        <w:pStyle w:val="NormalWeb"/>
        <w:spacing w:before="0" w:beforeAutospacing="0" w:after="0" w:afterAutospacing="0"/>
        <w:rPr>
          <w:rFonts w:ascii="Söhne" w:hAnsi="Söhne" w:cs="Arial"/>
          <w:color w:val="201F1E"/>
        </w:rPr>
      </w:pPr>
      <w:r>
        <w:rPr>
          <w:rFonts w:ascii="Söhne" w:hAnsi="Söhne" w:cs="Arial"/>
          <w:color w:val="201F1E"/>
        </w:rPr>
        <w:t>• Alterations in household occupants, such as a person leaving the household and no longer contributing to the rent or a child no longer under the tenant's care. The next annual rent review will then be scheduled 12 months from this date.</w:t>
      </w:r>
    </w:p>
    <w:p w14:paraId="4A719DBF" w14:textId="77777777" w:rsidR="00FE78C3" w:rsidRDefault="00FE78C3" w:rsidP="00FE78C3">
      <w:pPr>
        <w:pStyle w:val="NormalWeb"/>
        <w:spacing w:before="0" w:beforeAutospacing="0" w:after="0" w:afterAutospacing="0"/>
        <w:rPr>
          <w:rFonts w:ascii="Söhne" w:hAnsi="Söhne" w:cs="Arial"/>
          <w:color w:val="201F1E"/>
        </w:rPr>
      </w:pPr>
    </w:p>
    <w:p w14:paraId="49C43376" w14:textId="03BD7E09" w:rsidR="00FE78C3" w:rsidRPr="00FE78C3" w:rsidRDefault="00FE78C3" w:rsidP="00FE78C3">
      <w:pPr>
        <w:pStyle w:val="NormalWeb"/>
        <w:spacing w:before="0" w:beforeAutospacing="0" w:after="0" w:afterAutospacing="0"/>
        <w:rPr>
          <w:rFonts w:ascii="Söhne" w:hAnsi="Söhne" w:cs="Arial"/>
          <w:b/>
          <w:bCs/>
          <w:color w:val="201F1E"/>
        </w:rPr>
      </w:pPr>
      <w:r w:rsidRPr="00FE78C3">
        <w:rPr>
          <w:rFonts w:ascii="Söhne" w:hAnsi="Söhne" w:cs="Arial"/>
          <w:b/>
          <w:bCs/>
          <w:color w:val="201F1E"/>
        </w:rPr>
        <w:t>Complaints and Appeals</w:t>
      </w:r>
    </w:p>
    <w:p w14:paraId="1798C3FD" w14:textId="77777777" w:rsidR="00FE78C3" w:rsidRDefault="00FE78C3" w:rsidP="00FE78C3">
      <w:pPr>
        <w:pStyle w:val="NormalWeb"/>
        <w:spacing w:before="0" w:beforeAutospacing="0" w:after="0" w:afterAutospacing="0"/>
        <w:rPr>
          <w:rFonts w:ascii="Söhne" w:hAnsi="Söhne" w:cs="Arial"/>
          <w:color w:val="201F1E"/>
        </w:rPr>
      </w:pPr>
    </w:p>
    <w:p w14:paraId="4BBA8B61" w14:textId="77777777" w:rsidR="00FE78C3" w:rsidRDefault="00FE78C3" w:rsidP="00FE78C3">
      <w:pPr>
        <w:pStyle w:val="NormalWeb"/>
        <w:spacing w:before="0" w:beforeAutospacing="0" w:after="0" w:afterAutospacing="0"/>
        <w:rPr>
          <w:rFonts w:ascii="Söhne" w:hAnsi="Söhne" w:cs="Arial"/>
          <w:color w:val="201F1E"/>
        </w:rPr>
      </w:pPr>
      <w:r>
        <w:rPr>
          <w:rFonts w:ascii="Söhne" w:hAnsi="Söhne" w:cs="Arial"/>
          <w:color w:val="201F1E"/>
        </w:rPr>
        <w:t xml:space="preserve">As a tenant, if you disagree with a decision made by Vinnies Housing, you have the option to lodge an appeal for reconsideration. To initiate this process, you can submit your appeal in writing, outlining the reasons you believe the decision was incorrect. Appeals can be submitted in person at the office, sent via postal mail, or emailed to </w:t>
      </w:r>
      <w:hyperlink r:id="rId13" w:history="1">
        <w:r>
          <w:rPr>
            <w:rStyle w:val="Hyperlink"/>
            <w:rFonts w:ascii="Söhne" w:hAnsi="Söhne" w:cs="Arial"/>
            <w:lang w:val="en-US"/>
          </w:rPr>
          <w:t>state.housing@svdpqld.org.au</w:t>
        </w:r>
      </w:hyperlink>
      <w:r>
        <w:rPr>
          <w:rFonts w:ascii="Söhne" w:hAnsi="Söhne" w:cs="Arial"/>
          <w:color w:val="201F1E"/>
        </w:rPr>
        <w:t xml:space="preserve">. </w:t>
      </w:r>
    </w:p>
    <w:p w14:paraId="667D79F0" w14:textId="77777777" w:rsidR="00FE78C3" w:rsidRDefault="00FE78C3" w:rsidP="00FE78C3">
      <w:pPr>
        <w:pStyle w:val="NormalWeb"/>
        <w:spacing w:before="0" w:beforeAutospacing="0" w:after="0" w:afterAutospacing="0"/>
        <w:rPr>
          <w:rFonts w:ascii="Söhne" w:hAnsi="Söhne" w:cs="Arial"/>
          <w:color w:val="201F1E"/>
        </w:rPr>
      </w:pPr>
    </w:p>
    <w:p w14:paraId="06F7181A" w14:textId="76BBD742" w:rsidR="00FE78C3" w:rsidRDefault="00FE78C3" w:rsidP="00FE78C3">
      <w:pPr>
        <w:pStyle w:val="NormalWeb"/>
        <w:spacing w:before="0" w:beforeAutospacing="0" w:after="0" w:afterAutospacing="0"/>
        <w:rPr>
          <w:rFonts w:ascii="Söhne" w:hAnsi="Söhne" w:cs="Arial"/>
          <w:color w:val="201F1E"/>
        </w:rPr>
      </w:pPr>
      <w:r>
        <w:rPr>
          <w:rFonts w:ascii="Söhne" w:hAnsi="Söhne" w:cs="Arial"/>
          <w:color w:val="201F1E"/>
        </w:rPr>
        <w:t>You can also contact Vinnies Housing by phone if submitting a written appeal is not convenient for you.</w:t>
      </w:r>
    </w:p>
    <w:p w14:paraId="1F3DEE79" w14:textId="77777777" w:rsidR="00FE78C3" w:rsidRDefault="00FE78C3" w:rsidP="00FE78C3">
      <w:pPr>
        <w:pStyle w:val="NormalWeb"/>
        <w:spacing w:before="0" w:beforeAutospacing="0" w:after="0" w:afterAutospacing="0"/>
        <w:rPr>
          <w:rFonts w:ascii="Söhne" w:hAnsi="Söhne" w:cs="Arial"/>
          <w:color w:val="201F1E"/>
        </w:rPr>
      </w:pPr>
    </w:p>
    <w:p w14:paraId="506455F1" w14:textId="77777777" w:rsidR="00FE78C3" w:rsidRDefault="00FE78C3" w:rsidP="00FE78C3">
      <w:pPr>
        <w:pStyle w:val="NormalWeb"/>
        <w:spacing w:before="0" w:beforeAutospacing="0" w:after="0" w:afterAutospacing="0"/>
        <w:rPr>
          <w:rFonts w:ascii="Söhne" w:hAnsi="Söhne" w:cs="Arial"/>
          <w:color w:val="201F1E"/>
        </w:rPr>
      </w:pPr>
      <w:r>
        <w:rPr>
          <w:rFonts w:ascii="Söhne" w:hAnsi="Söhne" w:cs="Arial"/>
          <w:color w:val="201F1E"/>
        </w:rPr>
        <w:t>If you are dissatisfied with a service provided by Vinnies Housing, you have the option to lodge a complaint, either verbally or in writing. Alternatively, you may choose to contact:</w:t>
      </w:r>
    </w:p>
    <w:p w14:paraId="5CE2A05F" w14:textId="77777777" w:rsidR="00FE78C3" w:rsidRDefault="00FE78C3" w:rsidP="00FE78C3">
      <w:pPr>
        <w:pStyle w:val="NormalWeb"/>
        <w:spacing w:before="0" w:beforeAutospacing="0" w:after="0" w:afterAutospacing="0"/>
        <w:rPr>
          <w:rFonts w:ascii="Söhne" w:hAnsi="Söhne" w:cs="Arial"/>
          <w:color w:val="201F1E"/>
        </w:rPr>
      </w:pPr>
      <w:r>
        <w:rPr>
          <w:rFonts w:ascii="Söhne" w:hAnsi="Söhne" w:cs="Arial"/>
          <w:color w:val="201F1E"/>
        </w:rPr>
        <w:t xml:space="preserve">• The Residential Tenancies Authority at 1300 366 311 </w:t>
      </w:r>
    </w:p>
    <w:p w14:paraId="1A4189F8" w14:textId="77777777" w:rsidR="00FE78C3" w:rsidRDefault="00FE78C3" w:rsidP="00FE78C3">
      <w:pPr>
        <w:pStyle w:val="NormalWeb"/>
        <w:spacing w:before="0" w:beforeAutospacing="0" w:after="0" w:afterAutospacing="0"/>
        <w:rPr>
          <w:rFonts w:ascii="Söhne" w:hAnsi="Söhne" w:cs="Arial"/>
          <w:color w:val="201F1E"/>
        </w:rPr>
      </w:pPr>
      <w:r>
        <w:rPr>
          <w:rFonts w:ascii="Söhne" w:hAnsi="Söhne" w:cs="Arial"/>
          <w:color w:val="201F1E"/>
        </w:rPr>
        <w:lastRenderedPageBreak/>
        <w:t xml:space="preserve">• QSTARS, a free independent advice and referral service for all Queensland renters, at 1300 744 263. </w:t>
      </w:r>
    </w:p>
    <w:p w14:paraId="3441D6BE" w14:textId="7D2F4A47" w:rsidR="00FE78C3" w:rsidRDefault="00FE78C3" w:rsidP="00FE78C3">
      <w:pPr>
        <w:pStyle w:val="NormalWeb"/>
        <w:spacing w:before="0" w:beforeAutospacing="0" w:after="0" w:afterAutospacing="0"/>
        <w:rPr>
          <w:rFonts w:ascii="Söhne" w:hAnsi="Söhne" w:cs="Arial"/>
          <w:color w:val="201F1E"/>
        </w:rPr>
      </w:pPr>
      <w:r>
        <w:rPr>
          <w:rFonts w:ascii="Söhne" w:hAnsi="Söhne" w:cs="Arial"/>
          <w:color w:val="201F1E"/>
        </w:rPr>
        <w:t xml:space="preserve">• Your local Department of Housing and Public Works’ Housing Service Centre. Contact information can be found at </w:t>
      </w:r>
      <w:hyperlink r:id="rId14" w:history="1">
        <w:r>
          <w:rPr>
            <w:rStyle w:val="Hyperlink"/>
            <w:rFonts w:ascii="Söhne" w:hAnsi="Söhne" w:cs="Arial"/>
            <w:lang w:val="en-US"/>
          </w:rPr>
          <w:t>Housing Service Centre Contacts</w:t>
        </w:r>
      </w:hyperlink>
      <w:r>
        <w:rPr>
          <w:rFonts w:ascii="Söhne" w:hAnsi="Söhne" w:cs="Arial"/>
          <w:color w:val="201F1E"/>
        </w:rPr>
        <w:t>.</w:t>
      </w:r>
    </w:p>
    <w:p w14:paraId="6485D36B" w14:textId="7D0C8D87" w:rsidR="00FE78C3" w:rsidRDefault="00FE78C3">
      <w:pPr>
        <w:rPr>
          <w:sz w:val="24"/>
          <w:szCs w:val="24"/>
        </w:rPr>
      </w:pPr>
    </w:p>
    <w:sectPr w:rsidR="00FE78C3" w:rsidSect="00D8465C">
      <w:headerReference w:type="default"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6FF84" w14:textId="77777777" w:rsidR="00217238" w:rsidRDefault="00217238" w:rsidP="00372A0D">
      <w:pPr>
        <w:spacing w:after="0" w:line="240" w:lineRule="auto"/>
      </w:pPr>
      <w:r>
        <w:separator/>
      </w:r>
    </w:p>
  </w:endnote>
  <w:endnote w:type="continuationSeparator" w:id="0">
    <w:p w14:paraId="1142ED3A" w14:textId="77777777" w:rsidR="00217238" w:rsidRDefault="00217238" w:rsidP="00372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öhne">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AB20C" w14:textId="078B9054" w:rsidR="000831EE" w:rsidRPr="00B05407" w:rsidRDefault="00B05407">
    <w:pPr>
      <w:pStyle w:val="Footer"/>
      <w:rPr>
        <w:sz w:val="18"/>
        <w:szCs w:val="18"/>
      </w:rPr>
    </w:pPr>
    <w:r>
      <w:rPr>
        <w:sz w:val="18"/>
        <w:szCs w:val="18"/>
      </w:rPr>
      <w:t xml:space="preserve">Document Name | Version # | Date approved </w:t>
    </w:r>
    <w:r>
      <w:rPr>
        <w:sz w:val="18"/>
        <w:szCs w:val="18"/>
      </w:rPr>
      <w:tab/>
    </w:r>
    <w:r>
      <w:rPr>
        <w:sz w:val="18"/>
        <w:szCs w:val="18"/>
      </w:rPr>
      <w:tab/>
    </w:r>
    <w:sdt>
      <w:sdtPr>
        <w:id w:val="977738192"/>
        <w:docPartObj>
          <w:docPartGallery w:val="Page Numbers (Bottom of Page)"/>
          <w:docPartUnique/>
        </w:docPartObj>
      </w:sdtPr>
      <w:sdtEndPr>
        <w:rPr>
          <w:noProof/>
        </w:rPr>
      </w:sdtEndPr>
      <w:sdtContent>
        <w:r w:rsidR="000831EE">
          <w:fldChar w:fldCharType="begin"/>
        </w:r>
        <w:r w:rsidR="000831EE">
          <w:instrText xml:space="preserve"> PAGE   \* MERGEFORMAT </w:instrText>
        </w:r>
        <w:r w:rsidR="000831EE">
          <w:fldChar w:fldCharType="separate"/>
        </w:r>
        <w:r w:rsidR="000831EE">
          <w:rPr>
            <w:noProof/>
          </w:rPr>
          <w:t>2</w:t>
        </w:r>
        <w:r w:rsidR="000831EE">
          <w:rPr>
            <w:noProof/>
          </w:rPr>
          <w:fldChar w:fldCharType="end"/>
        </w:r>
        <w:r w:rsidR="00A868DE">
          <w:rPr>
            <w:noProof/>
          </w:rPr>
          <w:br/>
        </w:r>
        <w:r w:rsidR="00A868DE">
          <w:rPr>
            <w:noProof/>
          </w:rPr>
          <w:br/>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4B57C" w14:textId="723FBEBD" w:rsidR="007C7D5B" w:rsidRPr="00FF03A4" w:rsidRDefault="001A794D" w:rsidP="001A794D">
    <w:pPr>
      <w:pStyle w:val="Footer"/>
      <w:rPr>
        <w:sz w:val="18"/>
        <w:szCs w:val="18"/>
      </w:rPr>
    </w:pPr>
    <w:r>
      <w:rPr>
        <w:sz w:val="18"/>
        <w:szCs w:val="18"/>
      </w:rPr>
      <w:t xml:space="preserve">Document Name | Version # | Date approved </w:t>
    </w:r>
    <w:r>
      <w:rPr>
        <w:sz w:val="18"/>
        <w:szCs w:val="18"/>
      </w:rPr>
      <w:tab/>
    </w:r>
    <w:r>
      <w:rPr>
        <w:sz w:val="18"/>
        <w:szCs w:val="18"/>
      </w:rPr>
      <w:tab/>
    </w:r>
    <w:sdt>
      <w:sdtPr>
        <w:id w:val="-515150446"/>
        <w:docPartObj>
          <w:docPartGallery w:val="Page Numbers (Bottom of Page)"/>
          <w:docPartUnique/>
        </w:docPartObj>
      </w:sdtPr>
      <w:sdtEndPr>
        <w:rPr>
          <w:noProof/>
        </w:rPr>
      </w:sdtEndPr>
      <w:sdtContent>
        <w:r w:rsidR="007C7D5B">
          <w:fldChar w:fldCharType="begin"/>
        </w:r>
        <w:r w:rsidR="007C7D5B">
          <w:instrText xml:space="preserve"> PAGE   \* MERGEFORMAT </w:instrText>
        </w:r>
        <w:r w:rsidR="007C7D5B">
          <w:fldChar w:fldCharType="separate"/>
        </w:r>
        <w:r w:rsidR="007C7D5B">
          <w:t>1</w:t>
        </w:r>
        <w:r w:rsidR="007C7D5B">
          <w:rPr>
            <w:noProof/>
          </w:rPr>
          <w:fldChar w:fldCharType="end"/>
        </w:r>
        <w:r w:rsidR="007C7D5B">
          <w:rPr>
            <w:noProof/>
          </w:rPr>
          <w:br/>
        </w:r>
        <w:r w:rsidR="007C7D5B">
          <w:rPr>
            <w:sz w:val="18"/>
            <w:szCs w:val="18"/>
          </w:rPr>
          <w:tab/>
        </w:r>
        <w:r w:rsidR="007C7D5B">
          <w:rPr>
            <w:sz w:val="18"/>
            <w:szCs w:val="18"/>
          </w:rPr>
          <w:tab/>
        </w:r>
      </w:sdtContent>
    </w:sdt>
  </w:p>
  <w:p w14:paraId="452EF21C" w14:textId="77777777" w:rsidR="00A868DE" w:rsidRDefault="00A86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BA65D" w14:textId="77777777" w:rsidR="00217238" w:rsidRDefault="00217238" w:rsidP="00372A0D">
      <w:pPr>
        <w:spacing w:after="0" w:line="240" w:lineRule="auto"/>
      </w:pPr>
      <w:r>
        <w:separator/>
      </w:r>
    </w:p>
  </w:footnote>
  <w:footnote w:type="continuationSeparator" w:id="0">
    <w:p w14:paraId="7EB046DE" w14:textId="77777777" w:rsidR="00217238" w:rsidRDefault="00217238" w:rsidP="00372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6B8C" w14:textId="1B640A8E" w:rsidR="00D8465C" w:rsidRDefault="00CF79B9">
    <w:pPr>
      <w:pStyle w:val="Header"/>
    </w:pPr>
    <w:r>
      <w:rPr>
        <w:noProof/>
      </w:rPr>
      <w:drawing>
        <wp:anchor distT="0" distB="0" distL="114300" distR="114300" simplePos="0" relativeHeight="251661312" behindDoc="0" locked="0" layoutInCell="1" allowOverlap="1" wp14:anchorId="67F5AC58" wp14:editId="79FDAF97">
          <wp:simplePos x="0" y="0"/>
          <wp:positionH relativeFrom="margin">
            <wp:align>center</wp:align>
          </wp:positionH>
          <wp:positionV relativeFrom="paragraph">
            <wp:posOffset>-259080</wp:posOffset>
          </wp:positionV>
          <wp:extent cx="6642100" cy="996315"/>
          <wp:effectExtent l="0" t="0" r="6350" b="0"/>
          <wp:wrapThrough wrapText="bothSides">
            <wp:wrapPolygon edited="0">
              <wp:start x="0" y="0"/>
              <wp:lineTo x="0" y="21063"/>
              <wp:lineTo x="21559" y="21063"/>
              <wp:lineTo x="21559" y="0"/>
              <wp:lineTo x="0" y="0"/>
            </wp:wrapPolygon>
          </wp:wrapThrough>
          <wp:docPr id="3" name="Picture 3"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642100" cy="9963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43300" w14:textId="4107F57F" w:rsidR="00A868DE" w:rsidRDefault="00D838A1">
    <w:pPr>
      <w:pStyle w:val="Header"/>
    </w:pPr>
    <w:r>
      <w:rPr>
        <w:noProof/>
      </w:rPr>
      <w:drawing>
        <wp:anchor distT="0" distB="0" distL="114300" distR="114300" simplePos="0" relativeHeight="251660288" behindDoc="0" locked="0" layoutInCell="1" allowOverlap="1" wp14:anchorId="6961EAD7" wp14:editId="403E474B">
          <wp:simplePos x="0" y="0"/>
          <wp:positionH relativeFrom="margin">
            <wp:align>center</wp:align>
          </wp:positionH>
          <wp:positionV relativeFrom="paragraph">
            <wp:posOffset>-305435</wp:posOffset>
          </wp:positionV>
          <wp:extent cx="7406640" cy="1110615"/>
          <wp:effectExtent l="0" t="0" r="3810" b="0"/>
          <wp:wrapThrough wrapText="bothSides">
            <wp:wrapPolygon edited="0">
              <wp:start x="0" y="0"/>
              <wp:lineTo x="0" y="21118"/>
              <wp:lineTo x="21556" y="21118"/>
              <wp:lineTo x="21556" y="0"/>
              <wp:lineTo x="0" y="0"/>
            </wp:wrapPolygon>
          </wp:wrapThrough>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406640" cy="11106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79B9"/>
    <w:multiLevelType w:val="hybridMultilevel"/>
    <w:tmpl w:val="E41A6A2A"/>
    <w:lvl w:ilvl="0" w:tplc="A27E6B18">
      <w:start w:val="1"/>
      <w:numFmt w:val="lowerLetter"/>
      <w:pStyle w:val="Heading3"/>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3E5B4A"/>
    <w:multiLevelType w:val="hybridMultilevel"/>
    <w:tmpl w:val="BF7455C6"/>
    <w:lvl w:ilvl="0" w:tplc="621C6318">
      <w:start w:val="1"/>
      <w:numFmt w:val="lowerLetter"/>
      <w:pStyle w:val="Style1"/>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 w15:restartNumberingAfterBreak="0">
    <w:nsid w:val="5817245E"/>
    <w:multiLevelType w:val="multilevel"/>
    <w:tmpl w:val="72C43D4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lowerLetter"/>
      <w:lvlText w:val="(%3)"/>
      <w:lvlJc w:val="left"/>
      <w:pPr>
        <w:ind w:left="720" w:hanging="720"/>
      </w:pPr>
      <w:rPr>
        <w:rFonts w:hint="default"/>
      </w:rPr>
    </w:lvl>
    <w:lvl w:ilvl="3">
      <w:start w:val="1"/>
      <w:numFmt w:val="lowerRoman"/>
      <w:lvlText w:val="(%4)"/>
      <w:lvlJc w:val="right"/>
      <w:pPr>
        <w:ind w:left="864" w:hanging="864"/>
      </w:pPr>
      <w:rPr>
        <w:rFonts w:hint="default"/>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5BB741BA"/>
    <w:multiLevelType w:val="hybridMultilevel"/>
    <w:tmpl w:val="82D22F78"/>
    <w:lvl w:ilvl="0" w:tplc="6D98E236">
      <w:start w:val="1"/>
      <w:numFmt w:val="lowerRoman"/>
      <w:pStyle w:val="Heading4"/>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DF3166"/>
    <w:multiLevelType w:val="hybridMultilevel"/>
    <w:tmpl w:val="334432A2"/>
    <w:lvl w:ilvl="0" w:tplc="87E84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754F22"/>
    <w:multiLevelType w:val="hybridMultilevel"/>
    <w:tmpl w:val="045A6A8A"/>
    <w:lvl w:ilvl="0" w:tplc="9F36484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673D6DF0"/>
    <w:multiLevelType w:val="hybridMultilevel"/>
    <w:tmpl w:val="5178EC0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A14CAB"/>
    <w:multiLevelType w:val="hybridMultilevel"/>
    <w:tmpl w:val="05C23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3136066"/>
    <w:multiLevelType w:val="hybridMultilevel"/>
    <w:tmpl w:val="C56AFDA0"/>
    <w:lvl w:ilvl="0" w:tplc="449EF84A">
      <w:start w:val="1"/>
      <w:numFmt w:val="lowerRoman"/>
      <w:pStyle w:val="Style2"/>
      <w:lvlText w:val="(%1)"/>
      <w:lvlJc w:val="righ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9" w15:restartNumberingAfterBreak="0">
    <w:nsid w:val="753A1074"/>
    <w:multiLevelType w:val="hybridMultilevel"/>
    <w:tmpl w:val="CD8ACED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16cid:durableId="540946516">
    <w:abstractNumId w:val="4"/>
  </w:num>
  <w:num w:numId="2" w16cid:durableId="554387476">
    <w:abstractNumId w:val="2"/>
  </w:num>
  <w:num w:numId="3" w16cid:durableId="691883683">
    <w:abstractNumId w:val="0"/>
  </w:num>
  <w:num w:numId="4" w16cid:durableId="1980452134">
    <w:abstractNumId w:val="3"/>
  </w:num>
  <w:num w:numId="5" w16cid:durableId="591620905">
    <w:abstractNumId w:val="1"/>
  </w:num>
  <w:num w:numId="6" w16cid:durableId="550462332">
    <w:abstractNumId w:val="8"/>
  </w:num>
  <w:num w:numId="7" w16cid:durableId="1319656141">
    <w:abstractNumId w:val="5"/>
  </w:num>
  <w:num w:numId="8" w16cid:durableId="1537885887">
    <w:abstractNumId w:val="9"/>
  </w:num>
  <w:num w:numId="9" w16cid:durableId="86922814">
    <w:abstractNumId w:val="6"/>
  </w:num>
  <w:num w:numId="10" w16cid:durableId="10621431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0D"/>
    <w:rsid w:val="000206B2"/>
    <w:rsid w:val="00026D9D"/>
    <w:rsid w:val="000819F8"/>
    <w:rsid w:val="000831EE"/>
    <w:rsid w:val="000C0F38"/>
    <w:rsid w:val="000C2881"/>
    <w:rsid w:val="000F6A2A"/>
    <w:rsid w:val="001003BC"/>
    <w:rsid w:val="00106E1A"/>
    <w:rsid w:val="00142C5C"/>
    <w:rsid w:val="0016256A"/>
    <w:rsid w:val="001A5223"/>
    <w:rsid w:val="001A794D"/>
    <w:rsid w:val="001F35F6"/>
    <w:rsid w:val="0021633B"/>
    <w:rsid w:val="00217238"/>
    <w:rsid w:val="00254E45"/>
    <w:rsid w:val="00346D0F"/>
    <w:rsid w:val="00372A0D"/>
    <w:rsid w:val="004176BA"/>
    <w:rsid w:val="00491CDA"/>
    <w:rsid w:val="004D3F01"/>
    <w:rsid w:val="00526E80"/>
    <w:rsid w:val="005423C6"/>
    <w:rsid w:val="005C0F06"/>
    <w:rsid w:val="00662622"/>
    <w:rsid w:val="0066451E"/>
    <w:rsid w:val="006F0B6D"/>
    <w:rsid w:val="0076415B"/>
    <w:rsid w:val="00786432"/>
    <w:rsid w:val="007B6468"/>
    <w:rsid w:val="007C7D5B"/>
    <w:rsid w:val="0087136D"/>
    <w:rsid w:val="008C7D2B"/>
    <w:rsid w:val="008D270E"/>
    <w:rsid w:val="008F34C7"/>
    <w:rsid w:val="00961FA8"/>
    <w:rsid w:val="009879B9"/>
    <w:rsid w:val="009B4158"/>
    <w:rsid w:val="009B4B61"/>
    <w:rsid w:val="00A15410"/>
    <w:rsid w:val="00A21173"/>
    <w:rsid w:val="00A4799E"/>
    <w:rsid w:val="00A54BBF"/>
    <w:rsid w:val="00A550DD"/>
    <w:rsid w:val="00A5602F"/>
    <w:rsid w:val="00A75A39"/>
    <w:rsid w:val="00A868DE"/>
    <w:rsid w:val="00AA1D05"/>
    <w:rsid w:val="00AB04CC"/>
    <w:rsid w:val="00AC6CDD"/>
    <w:rsid w:val="00AF0655"/>
    <w:rsid w:val="00B05407"/>
    <w:rsid w:val="00C10D9F"/>
    <w:rsid w:val="00C72168"/>
    <w:rsid w:val="00CD7892"/>
    <w:rsid w:val="00CE28E4"/>
    <w:rsid w:val="00CE4CAE"/>
    <w:rsid w:val="00CF06A3"/>
    <w:rsid w:val="00CF79B9"/>
    <w:rsid w:val="00D10F82"/>
    <w:rsid w:val="00D30262"/>
    <w:rsid w:val="00D70E66"/>
    <w:rsid w:val="00D838A1"/>
    <w:rsid w:val="00D8465C"/>
    <w:rsid w:val="00DD473A"/>
    <w:rsid w:val="00DD4E3C"/>
    <w:rsid w:val="00E026C1"/>
    <w:rsid w:val="00E439BF"/>
    <w:rsid w:val="00E903F0"/>
    <w:rsid w:val="00EC1F2A"/>
    <w:rsid w:val="00F302FA"/>
    <w:rsid w:val="00FA4901"/>
    <w:rsid w:val="00FC1EAB"/>
    <w:rsid w:val="00FE2977"/>
    <w:rsid w:val="00FE78C3"/>
    <w:rsid w:val="00FF0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E8243"/>
  <w15:chartTrackingRefBased/>
  <w15:docId w15:val="{05F25050-3AC0-4683-8CF1-9BDC1327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1EE"/>
    <w:pPr>
      <w:widowControl w:val="0"/>
    </w:pPr>
    <w:rPr>
      <w:rFonts w:ascii="Arial" w:hAnsi="Arial"/>
    </w:rPr>
  </w:style>
  <w:style w:type="paragraph" w:styleId="Heading1">
    <w:name w:val="heading 1"/>
    <w:basedOn w:val="Normal"/>
    <w:next w:val="Normal"/>
    <w:link w:val="Heading1Char"/>
    <w:autoRedefine/>
    <w:uiPriority w:val="9"/>
    <w:qFormat/>
    <w:rsid w:val="00372A0D"/>
    <w:pPr>
      <w:keepNext/>
      <w:keepLines/>
      <w:numPr>
        <w:numId w:val="2"/>
      </w:numPr>
      <w:spacing w:before="240" w:after="0"/>
      <w:outlineLvl w:val="0"/>
    </w:pPr>
    <w:rPr>
      <w:rFonts w:eastAsiaTheme="majorEastAsia" w:cstheme="majorBidi"/>
      <w:b/>
      <w:color w:val="004A99"/>
      <w:sz w:val="32"/>
      <w:szCs w:val="32"/>
    </w:rPr>
  </w:style>
  <w:style w:type="paragraph" w:styleId="Heading2">
    <w:name w:val="heading 2"/>
    <w:basedOn w:val="Normal"/>
    <w:link w:val="Heading2Char"/>
    <w:uiPriority w:val="9"/>
    <w:unhideWhenUsed/>
    <w:qFormat/>
    <w:rsid w:val="000831EE"/>
    <w:pPr>
      <w:numPr>
        <w:ilvl w:val="1"/>
        <w:numId w:val="2"/>
      </w:numPr>
      <w:spacing w:before="40" w:after="0"/>
      <w:ind w:left="578" w:hanging="578"/>
      <w:outlineLvl w:val="1"/>
    </w:pPr>
    <w:rPr>
      <w:rFonts w:eastAsiaTheme="majorEastAsia" w:cstheme="majorBidi"/>
      <w:b/>
      <w:color w:val="000000" w:themeColor="text1"/>
      <w:sz w:val="24"/>
      <w:szCs w:val="26"/>
    </w:rPr>
  </w:style>
  <w:style w:type="paragraph" w:styleId="Heading3">
    <w:name w:val="heading 3"/>
    <w:basedOn w:val="Normal"/>
    <w:link w:val="Heading3Char"/>
    <w:autoRedefine/>
    <w:uiPriority w:val="9"/>
    <w:unhideWhenUsed/>
    <w:rsid w:val="00026D9D"/>
    <w:pPr>
      <w:keepNext/>
      <w:keepLines/>
      <w:numPr>
        <w:numId w:val="3"/>
      </w:numPr>
      <w:spacing w:before="40" w:after="0"/>
      <w:outlineLvl w:val="2"/>
    </w:pPr>
    <w:rPr>
      <w:rFonts w:eastAsiaTheme="majorEastAsia" w:cstheme="majorBidi"/>
      <w:color w:val="000000" w:themeColor="text1"/>
      <w:sz w:val="24"/>
      <w:szCs w:val="24"/>
      <w:lang w:val="en-AU"/>
    </w:rPr>
  </w:style>
  <w:style w:type="paragraph" w:styleId="Heading4">
    <w:name w:val="heading 4"/>
    <w:basedOn w:val="Normal"/>
    <w:next w:val="Normal"/>
    <w:link w:val="Heading4Char"/>
    <w:autoRedefine/>
    <w:uiPriority w:val="9"/>
    <w:semiHidden/>
    <w:unhideWhenUsed/>
    <w:rsid w:val="00D30262"/>
    <w:pPr>
      <w:keepNext/>
      <w:keepLines/>
      <w:numPr>
        <w:numId w:val="4"/>
      </w:numPr>
      <w:spacing w:before="40" w:after="0"/>
      <w:outlineLvl w:val="3"/>
    </w:pPr>
    <w:rPr>
      <w:rFonts w:eastAsiaTheme="majorEastAsia" w:cstheme="majorBidi"/>
      <w:iCs/>
      <w:color w:val="000000" w:themeColor="text1"/>
    </w:rPr>
  </w:style>
  <w:style w:type="paragraph" w:styleId="Heading5">
    <w:name w:val="heading 5"/>
    <w:basedOn w:val="Normal"/>
    <w:next w:val="Normal"/>
    <w:link w:val="Heading5Char"/>
    <w:uiPriority w:val="9"/>
    <w:unhideWhenUsed/>
    <w:rsid w:val="00372A0D"/>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rsid w:val="00372A0D"/>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72A0D"/>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72A0D"/>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72A0D"/>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A0D"/>
  </w:style>
  <w:style w:type="paragraph" w:styleId="Footer">
    <w:name w:val="footer"/>
    <w:basedOn w:val="Normal"/>
    <w:link w:val="FooterChar"/>
    <w:uiPriority w:val="99"/>
    <w:unhideWhenUsed/>
    <w:rsid w:val="00372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A0D"/>
  </w:style>
  <w:style w:type="table" w:styleId="TableGrid">
    <w:name w:val="Table Grid"/>
    <w:basedOn w:val="TableNormal"/>
    <w:uiPriority w:val="39"/>
    <w:rsid w:val="00372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72A0D"/>
    <w:rPr>
      <w:rFonts w:ascii="Arial" w:eastAsiaTheme="majorEastAsia" w:hAnsi="Arial" w:cstheme="majorBidi"/>
      <w:b/>
      <w:color w:val="004A99"/>
      <w:sz w:val="32"/>
      <w:szCs w:val="32"/>
    </w:rPr>
  </w:style>
  <w:style w:type="character" w:customStyle="1" w:styleId="Heading2Char">
    <w:name w:val="Heading 2 Char"/>
    <w:basedOn w:val="DefaultParagraphFont"/>
    <w:link w:val="Heading2"/>
    <w:uiPriority w:val="9"/>
    <w:rsid w:val="000831EE"/>
    <w:rPr>
      <w:rFonts w:ascii="Arial" w:eastAsiaTheme="majorEastAsia" w:hAnsi="Arial" w:cstheme="majorBidi"/>
      <w:b/>
      <w:color w:val="000000" w:themeColor="text1"/>
      <w:sz w:val="24"/>
      <w:szCs w:val="26"/>
    </w:rPr>
  </w:style>
  <w:style w:type="paragraph" w:styleId="ListParagraph">
    <w:name w:val="List Paragraph"/>
    <w:basedOn w:val="Normal"/>
    <w:uiPriority w:val="34"/>
    <w:rsid w:val="00372A0D"/>
    <w:pPr>
      <w:ind w:left="720"/>
      <w:contextualSpacing/>
    </w:pPr>
  </w:style>
  <w:style w:type="character" w:customStyle="1" w:styleId="Heading3Char">
    <w:name w:val="Heading 3 Char"/>
    <w:basedOn w:val="DefaultParagraphFont"/>
    <w:link w:val="Heading3"/>
    <w:uiPriority w:val="9"/>
    <w:rsid w:val="00026D9D"/>
    <w:rPr>
      <w:rFonts w:ascii="Arial" w:eastAsiaTheme="majorEastAsia" w:hAnsi="Arial" w:cstheme="majorBidi"/>
      <w:color w:val="000000" w:themeColor="text1"/>
      <w:sz w:val="24"/>
      <w:szCs w:val="24"/>
      <w:lang w:val="en-AU"/>
    </w:rPr>
  </w:style>
  <w:style w:type="character" w:customStyle="1" w:styleId="Heading4Char">
    <w:name w:val="Heading 4 Char"/>
    <w:basedOn w:val="DefaultParagraphFont"/>
    <w:link w:val="Heading4"/>
    <w:uiPriority w:val="9"/>
    <w:semiHidden/>
    <w:rsid w:val="00D30262"/>
    <w:rPr>
      <w:rFonts w:ascii="Arial" w:eastAsiaTheme="majorEastAsia" w:hAnsi="Arial" w:cstheme="majorBidi"/>
      <w:iCs/>
      <w:color w:val="000000" w:themeColor="text1"/>
    </w:rPr>
  </w:style>
  <w:style w:type="character" w:customStyle="1" w:styleId="Heading5Char">
    <w:name w:val="Heading 5 Char"/>
    <w:basedOn w:val="DefaultParagraphFont"/>
    <w:link w:val="Heading5"/>
    <w:uiPriority w:val="9"/>
    <w:rsid w:val="00372A0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72A0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72A0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72A0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72A0D"/>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D30262"/>
    <w:pPr>
      <w:spacing w:after="0" w:line="240" w:lineRule="auto"/>
      <w:contextualSpacing/>
    </w:pPr>
    <w:rPr>
      <w:rFonts w:eastAsiaTheme="majorEastAsia" w:cstheme="majorBidi"/>
      <w:b/>
      <w:color w:val="004A99"/>
      <w:spacing w:val="-10"/>
      <w:kern w:val="28"/>
      <w:sz w:val="56"/>
      <w:szCs w:val="56"/>
    </w:rPr>
  </w:style>
  <w:style w:type="character" w:customStyle="1" w:styleId="TitleChar">
    <w:name w:val="Title Char"/>
    <w:basedOn w:val="DefaultParagraphFont"/>
    <w:link w:val="Title"/>
    <w:uiPriority w:val="10"/>
    <w:rsid w:val="00D30262"/>
    <w:rPr>
      <w:rFonts w:ascii="Arial" w:eastAsiaTheme="majorEastAsia" w:hAnsi="Arial" w:cstheme="majorBidi"/>
      <w:b/>
      <w:color w:val="004A99"/>
      <w:spacing w:val="-10"/>
      <w:kern w:val="28"/>
      <w:sz w:val="56"/>
      <w:szCs w:val="56"/>
    </w:rPr>
  </w:style>
  <w:style w:type="paragraph" w:customStyle="1" w:styleId="Style1">
    <w:name w:val="Style1"/>
    <w:basedOn w:val="Normal"/>
    <w:link w:val="Style1Char"/>
    <w:qFormat/>
    <w:rsid w:val="00EC1F2A"/>
    <w:pPr>
      <w:numPr>
        <w:numId w:val="5"/>
      </w:numPr>
    </w:pPr>
  </w:style>
  <w:style w:type="paragraph" w:customStyle="1" w:styleId="Style2">
    <w:name w:val="Style2"/>
    <w:basedOn w:val="Style1"/>
    <w:link w:val="Style2Char"/>
    <w:qFormat/>
    <w:rsid w:val="00EC1F2A"/>
    <w:pPr>
      <w:numPr>
        <w:numId w:val="6"/>
      </w:numPr>
    </w:pPr>
  </w:style>
  <w:style w:type="character" w:customStyle="1" w:styleId="Style1Char">
    <w:name w:val="Style1 Char"/>
    <w:basedOn w:val="DefaultParagraphFont"/>
    <w:link w:val="Style1"/>
    <w:rsid w:val="00EC1F2A"/>
    <w:rPr>
      <w:rFonts w:ascii="Arial" w:hAnsi="Arial"/>
    </w:rPr>
  </w:style>
  <w:style w:type="character" w:customStyle="1" w:styleId="Style2Char">
    <w:name w:val="Style2 Char"/>
    <w:basedOn w:val="Style1Char"/>
    <w:link w:val="Style2"/>
    <w:rsid w:val="00EC1F2A"/>
    <w:rPr>
      <w:rFonts w:ascii="Arial" w:hAnsi="Arial"/>
    </w:rPr>
  </w:style>
  <w:style w:type="character" w:styleId="Hyperlink">
    <w:name w:val="Hyperlink"/>
    <w:basedOn w:val="DefaultParagraphFont"/>
    <w:uiPriority w:val="99"/>
    <w:unhideWhenUsed/>
    <w:rsid w:val="000F6A2A"/>
    <w:rPr>
      <w:color w:val="0563C1" w:themeColor="hyperlink"/>
      <w:u w:val="single"/>
    </w:rPr>
  </w:style>
  <w:style w:type="character" w:styleId="UnresolvedMention">
    <w:name w:val="Unresolved Mention"/>
    <w:basedOn w:val="DefaultParagraphFont"/>
    <w:uiPriority w:val="99"/>
    <w:semiHidden/>
    <w:unhideWhenUsed/>
    <w:rsid w:val="000F6A2A"/>
    <w:rPr>
      <w:color w:val="605E5C"/>
      <w:shd w:val="clear" w:color="auto" w:fill="E1DFDD"/>
    </w:rPr>
  </w:style>
  <w:style w:type="paragraph" w:styleId="NormalWeb">
    <w:name w:val="Normal (Web)"/>
    <w:basedOn w:val="Normal"/>
    <w:uiPriority w:val="99"/>
    <w:semiHidden/>
    <w:unhideWhenUsed/>
    <w:rsid w:val="00FE78C3"/>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352569">
      <w:bodyDiv w:val="1"/>
      <w:marLeft w:val="0"/>
      <w:marRight w:val="0"/>
      <w:marTop w:val="0"/>
      <w:marBottom w:val="0"/>
      <w:divBdr>
        <w:top w:val="none" w:sz="0" w:space="0" w:color="auto"/>
        <w:left w:val="none" w:sz="0" w:space="0" w:color="auto"/>
        <w:bottom w:val="none" w:sz="0" w:space="0" w:color="auto"/>
        <w:right w:val="none" w:sz="0" w:space="0" w:color="auto"/>
      </w:divBdr>
    </w:div>
    <w:div w:id="166339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ate.housing@svdpqld.org.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ta.qld.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pw.qld.gov.au/SiteCollectionDocuments/CommunityHousingRentPolicy2013.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ld.gov.au/housing/public-community-housing/housing-service-cent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12cbbdfa-db0e-4dad-b7d4-5a9858f0e2ba" ContentTypeId="0x010100525E9DE9824F5043A73A1E07AA8F332E" PreviousValue="false"/>
</file>

<file path=customXml/item3.xml><?xml version="1.0" encoding="utf-8"?>
<ct:contentTypeSchema xmlns:ct="http://schemas.microsoft.com/office/2006/metadata/contentType" xmlns:ma="http://schemas.microsoft.com/office/2006/metadata/properties/metaAttributes" ct:_="" ma:_="" ma:contentTypeName="SVDP Resource" ma:contentTypeID="0x010100525E9DE9824F5043A73A1E07AA8F332E00103BB8A93E83604CA9C31F1970AF87CE" ma:contentTypeVersion="3" ma:contentTypeDescription="" ma:contentTypeScope="" ma:versionID="364df4b7ec6f6ad6759ff91470a68c0c">
  <xsd:schema xmlns:xsd="http://www.w3.org/2001/XMLSchema" xmlns:xs="http://www.w3.org/2001/XMLSchema" xmlns:p="http://schemas.microsoft.com/office/2006/metadata/properties" xmlns:ns2="51ad4d1b-2175-46ea-a1b4-88fdc1b3d7d7" targetNamespace="http://schemas.microsoft.com/office/2006/metadata/properties" ma:root="true" ma:fieldsID="eb69a81b7fa948159ccfa7721578b603" ns2:_="">
    <xsd:import namespace="51ad4d1b-2175-46ea-a1b4-88fdc1b3d7d7"/>
    <xsd:element name="properties">
      <xsd:complexType>
        <xsd:sequence>
          <xsd:element name="documentManagement">
            <xsd:complexType>
              <xsd:all>
                <xsd:element ref="ns2:aca65791cc0d4971b0147d00e2173de1" minOccurs="0"/>
                <xsd:element ref="ns2:TaxCatchAll" minOccurs="0"/>
                <xsd:element ref="ns2:TaxCatchAllLabel" minOccurs="0"/>
                <xsd:element ref="ns2:f98d4418c6b74c76a9b2330f31892dce" minOccurs="0"/>
                <xsd:element ref="ns2:ke0b07f621ec4f41b026e93c794e3c74" minOccurs="0"/>
                <xsd:element ref="ns2:Issue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d4d1b-2175-46ea-a1b4-88fdc1b3d7d7" elementFormDefault="qualified">
    <xsd:import namespace="http://schemas.microsoft.com/office/2006/documentManagement/types"/>
    <xsd:import namespace="http://schemas.microsoft.com/office/infopath/2007/PartnerControls"/>
    <xsd:element name="aca65791cc0d4971b0147d00e2173de1" ma:index="8" ma:taxonomy="true" ma:internalName="aca65791cc0d4971b0147d00e2173de1" ma:taxonomyFieldName="ResourceType" ma:displayName="Resource" ma:readOnly="false" ma:fieldId="{aca65791-cc0d-4971-b014-7d00e2173de1}" ma:sspId="12cbbdfa-db0e-4dad-b7d4-5a9858f0e2ba" ma:termSetId="fb538d85-7ed0-4fd3-a02e-3be13ca17ff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425b48c-b54e-428b-b2f6-b1fdfda790b9}" ma:internalName="TaxCatchAll" ma:showField="CatchAllData" ma:web="00950cad-4f08-4a77-b7ae-ff4897044a8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425b48c-b54e-428b-b2f6-b1fdfda790b9}" ma:internalName="TaxCatchAllLabel" ma:readOnly="true" ma:showField="CatchAllDataLabel" ma:web="00950cad-4f08-4a77-b7ae-ff4897044a85">
      <xsd:complexType>
        <xsd:complexContent>
          <xsd:extension base="dms:MultiChoiceLookup">
            <xsd:sequence>
              <xsd:element name="Value" type="dms:Lookup" maxOccurs="unbounded" minOccurs="0" nillable="true"/>
            </xsd:sequence>
          </xsd:extension>
        </xsd:complexContent>
      </xsd:complexType>
    </xsd:element>
    <xsd:element name="f98d4418c6b74c76a9b2330f31892dce" ma:index="12" ma:taxonomy="true" ma:internalName="f98d4418c6b74c76a9b2330f31892dce" ma:taxonomyFieldName="BusinessFunction" ma:displayName="Business Function" ma:readOnly="false" ma:default="" ma:fieldId="{f98d4418-c6b7-4c76-a9b2-330f31892dce}" ma:sspId="12cbbdfa-db0e-4dad-b7d4-5a9858f0e2ba" ma:termSetId="298002de-f011-4a62-b7ce-bee643448dae" ma:anchorId="00000000-0000-0000-0000-000000000000" ma:open="false" ma:isKeyword="false">
      <xsd:complexType>
        <xsd:sequence>
          <xsd:element ref="pc:Terms" minOccurs="0" maxOccurs="1"/>
        </xsd:sequence>
      </xsd:complexType>
    </xsd:element>
    <xsd:element name="ke0b07f621ec4f41b026e93c794e3c74" ma:index="14" ma:taxonomy="true" ma:internalName="ke0b07f621ec4f41b026e93c794e3c74" ma:taxonomyFieldName="Audience" ma:displayName="Audience" ma:default="" ma:fieldId="{4e0b07f6-21ec-4f41-b026-e93c794e3c74}" ma:taxonomyMulti="true" ma:sspId="12cbbdfa-db0e-4dad-b7d4-5a9858f0e2ba" ma:termSetId="ab479348-d379-41b0-8d21-1c03d889450f" ma:anchorId="00000000-0000-0000-0000-000000000000" ma:open="false" ma:isKeyword="false">
      <xsd:complexType>
        <xsd:sequence>
          <xsd:element ref="pc:Terms" minOccurs="0" maxOccurs="1"/>
        </xsd:sequence>
      </xsd:complexType>
    </xsd:element>
    <xsd:element name="IssueDate" ma:index="16" ma:displayName="Issue Date" ma:format="DateOnly" ma:internalName="Issu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1ad4d1b-2175-46ea-a1b4-88fdc1b3d7d7">
      <Value>27</Value>
      <Value>4</Value>
      <Value>70</Value>
      <Value>8</Value>
      <Value>14</Value>
    </TaxCatchAll>
    <aca65791cc0d4971b0147d00e2173de1 xmlns="51ad4d1b-2175-46ea-a1b4-88fdc1b3d7d7">
      <Terms xmlns="http://schemas.microsoft.com/office/infopath/2007/PartnerControls">
        <TermInfo xmlns="http://schemas.microsoft.com/office/infopath/2007/PartnerControls">
          <TermName xmlns="http://schemas.microsoft.com/office/infopath/2007/PartnerControls">User Guide</TermName>
          <TermId xmlns="http://schemas.microsoft.com/office/infopath/2007/PartnerControls">040fc2b6-1d0b-4888-813b-c08a36ad6e01</TermId>
        </TermInfo>
      </Terms>
    </aca65791cc0d4971b0147d00e2173de1>
    <ke0b07f621ec4f41b026e93c794e3c74 xmlns="51ad4d1b-2175-46ea-a1b4-88fdc1b3d7d7">
      <Terms xmlns="http://schemas.microsoft.com/office/infopath/2007/PartnerControls">
        <TermInfo xmlns="http://schemas.microsoft.com/office/infopath/2007/PartnerControls">
          <TermName xmlns="http://schemas.microsoft.com/office/infopath/2007/PartnerControls">Members</TermName>
          <TermId xmlns="http://schemas.microsoft.com/office/infopath/2007/PartnerControls">72724594-fd84-4166-ab41-b932da0e91bc</TermId>
        </TermInfo>
        <TermInfo xmlns="http://schemas.microsoft.com/office/infopath/2007/PartnerControls">
          <TermName xmlns="http://schemas.microsoft.com/office/infopath/2007/PartnerControls"> Staff</TermName>
          <TermId xmlns="http://schemas.microsoft.com/office/infopath/2007/PartnerControls">eaaa493b-2124-4130-816a-f2061e0d5d8c</TermId>
        </TermInfo>
        <TermInfo xmlns="http://schemas.microsoft.com/office/infopath/2007/PartnerControls">
          <TermName xmlns="http://schemas.microsoft.com/office/infopath/2007/PartnerControls"> Volunteers</TermName>
          <TermId xmlns="http://schemas.microsoft.com/office/infopath/2007/PartnerControls">f4d38cc3-8d09-420c-a1ab-46450d6bb152</TermId>
        </TermInfo>
      </Terms>
    </ke0b07f621ec4f41b026e93c794e3c74>
    <f98d4418c6b74c76a9b2330f31892dce xmlns="51ad4d1b-2175-46ea-a1b4-88fdc1b3d7d7">
      <Terms xmlns="http://schemas.microsoft.com/office/infopath/2007/PartnerControls">
        <TermInfo xmlns="http://schemas.microsoft.com/office/infopath/2007/PartnerControls">
          <TermName xmlns="http://schemas.microsoft.com/office/infopath/2007/PartnerControls">Fundraising, Marketing and Communications</TermName>
          <TermId xmlns="http://schemas.microsoft.com/office/infopath/2007/PartnerControls">57fb4008-c186-4d24-876f-0ac123eeac45</TermId>
        </TermInfo>
      </Terms>
    </f98d4418c6b74c76a9b2330f31892dce>
    <IssueDate xmlns="51ad4d1b-2175-46ea-a1b4-88fdc1b3d7d7">2022-10-16T14:00:00+00:00</IssueDate>
  </documentManagement>
</p:properties>
</file>

<file path=customXml/itemProps1.xml><?xml version="1.0" encoding="utf-8"?>
<ds:datastoreItem xmlns:ds="http://schemas.openxmlformats.org/officeDocument/2006/customXml" ds:itemID="{F3F91ABB-989C-4209-BFDF-7F7F9E973E7D}">
  <ds:schemaRefs>
    <ds:schemaRef ds:uri="http://schemas.microsoft.com/sharepoint/v3/contenttype/forms"/>
  </ds:schemaRefs>
</ds:datastoreItem>
</file>

<file path=customXml/itemProps2.xml><?xml version="1.0" encoding="utf-8"?>
<ds:datastoreItem xmlns:ds="http://schemas.openxmlformats.org/officeDocument/2006/customXml" ds:itemID="{386E1043-046C-4B7D-BFE0-04CAA24AFFFE}">
  <ds:schemaRefs>
    <ds:schemaRef ds:uri="Microsoft.SharePoint.Taxonomy.ContentTypeSync"/>
  </ds:schemaRefs>
</ds:datastoreItem>
</file>

<file path=customXml/itemProps3.xml><?xml version="1.0" encoding="utf-8"?>
<ds:datastoreItem xmlns:ds="http://schemas.openxmlformats.org/officeDocument/2006/customXml" ds:itemID="{334D3A31-D40C-439E-BFD9-3D006ADE7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d4d1b-2175-46ea-a1b4-88fdc1b3d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A8DCEB-F71A-4B2E-B7AD-3BB41777EAB3}">
  <ds:schemaRefs>
    <ds:schemaRef ds:uri="http://schemas.microsoft.com/office/2006/metadata/properties"/>
    <ds:schemaRef ds:uri="http://schemas.microsoft.com/office/infopath/2007/PartnerControls"/>
    <ds:schemaRef ds:uri="51ad4d1b-2175-46ea-a1b4-88fdc1b3d7d7"/>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Preston</dc:creator>
  <cp:keywords/>
  <dc:description/>
  <cp:lastModifiedBy>Jon Twomey</cp:lastModifiedBy>
  <cp:revision>4</cp:revision>
  <dcterms:created xsi:type="dcterms:W3CDTF">2023-09-07T01:44:00Z</dcterms:created>
  <dcterms:modified xsi:type="dcterms:W3CDTF">2023-09-08T03:27:00Z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0x010100525E9DE9824F5043A73A1E07AA8F332E00103BB8A93E83604CA9C31F1970AF87CE</vt:lpwstr>
  </property>
  <property fmtid="{D5CDD505-2E9C-101B-9397-08002B2CF9AE}" pid="3" name="MediaServiceImageTags">
    <vt:lpwstr/>
  </property>
  <property fmtid="{D5CDD505-2E9C-101B-9397-08002B2CF9AE}" pid="4" name="BusinessFunction">
    <vt:lpwstr>27;#Fundraising, Marketing and Communications|57fb4008-c186-4d24-876f-0ac123eeac45</vt:lpwstr>
  </property>
  <property fmtid="{D5CDD505-2E9C-101B-9397-08002B2CF9AE}" pid="5" name="ResourceType">
    <vt:lpwstr>14;#User Guide|040fc2b6-1d0b-4888-813b-c08a36ad6e01</vt:lpwstr>
  </property>
  <property fmtid="{D5CDD505-2E9C-101B-9397-08002B2CF9AE}" pid="6" name="Audience">
    <vt:lpwstr>4;#Members|72724594-fd84-4166-ab41-b932da0e91bc;#8;# Staff|eaaa493b-2124-4130-816a-f2061e0d5d8c;#70;# Volunteers|f4d38cc3-8d09-420c-a1ab-46450d6bb152</vt:lpwstr>
  </property>
</Properties>
</file>